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spacing w:val="2"/>
          <w:sz w:val="32"/>
          <w:szCs w:val="32"/>
        </w:rPr>
      </w:pPr>
      <w:r>
        <w:rPr>
          <w:rFonts w:hint="eastAsia" w:ascii="黑体" w:hAnsi="黑体" w:eastAsia="黑体" w:cs="宋体"/>
          <w:spacing w:val="2"/>
          <w:sz w:val="32"/>
          <w:szCs w:val="32"/>
        </w:rPr>
        <w:t>附件3</w:t>
      </w:r>
    </w:p>
    <w:p>
      <w:pPr>
        <w:spacing w:line="600" w:lineRule="exact"/>
        <w:rPr>
          <w:rFonts w:ascii="黑体" w:hAnsi="黑体" w:eastAsia="黑体" w:cs="宋体"/>
          <w:spacing w:val="2"/>
          <w:sz w:val="32"/>
          <w:szCs w:val="32"/>
        </w:rPr>
      </w:pPr>
    </w:p>
    <w:p>
      <w:pPr>
        <w:pStyle w:val="3"/>
        <w:spacing w:beforeAutospacing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理论知识考核说明</w:t>
      </w:r>
      <w:bookmarkEnd w:id="0"/>
    </w:p>
    <w:p>
      <w:pPr>
        <w:pStyle w:val="3"/>
        <w:spacing w:beforeAutospacing="0" w:afterAutospacing="0" w:line="600" w:lineRule="exact"/>
        <w:jc w:val="center"/>
        <w:rPr>
          <w:rFonts w:ascii="仿宋_GB2312" w:eastAsia="仿宋_GB2312"/>
          <w:b/>
          <w:spacing w:val="2"/>
          <w:sz w:val="44"/>
          <w:szCs w:val="44"/>
        </w:rPr>
      </w:pPr>
    </w:p>
    <w:p>
      <w:pPr>
        <w:pStyle w:val="3"/>
        <w:spacing w:before="0" w:beforeAutospacing="0" w:after="0" w:afterAutospacing="0" w:line="600" w:lineRule="exact"/>
        <w:ind w:firstLine="648" w:firstLineChars="200"/>
        <w:jc w:val="both"/>
        <w:rPr>
          <w:rFonts w:ascii="黑体" w:hAnsi="黑体" w:eastAsia="黑体" w:cs="黑体"/>
          <w:bCs/>
          <w:spacing w:val="2"/>
          <w:sz w:val="32"/>
          <w:szCs w:val="32"/>
        </w:rPr>
      </w:pPr>
      <w:r>
        <w:rPr>
          <w:rFonts w:hint="eastAsia" w:ascii="黑体" w:hAnsi="黑体" w:eastAsia="黑体" w:cs="黑体"/>
          <w:bCs/>
          <w:spacing w:val="2"/>
          <w:sz w:val="32"/>
          <w:szCs w:val="32"/>
        </w:rPr>
        <w:t>一、范围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理论知识考核内容为机动车检验检测行业和安全生产的法律法规、政策文件，机动车检验检测相关标准等内容。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二、题型</w:t>
      </w:r>
    </w:p>
    <w:p>
      <w:pPr>
        <w:spacing w:line="600" w:lineRule="exact"/>
        <w:ind w:firstLine="64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题型为判断题30题、单项选择题30题、多项选择题20题、简答题1题，情景分析题1题。</w:t>
      </w:r>
    </w:p>
    <w:p>
      <w:pPr>
        <w:spacing w:line="600" w:lineRule="exact"/>
        <w:rPr>
          <w:rFonts w:ascii="黑体" w:hAnsi="黑体" w:eastAsia="黑体"/>
          <w:b/>
          <w:spacing w:val="2"/>
          <w:sz w:val="32"/>
          <w:szCs w:val="32"/>
        </w:rPr>
      </w:pPr>
    </w:p>
    <w:p>
      <w:pPr>
        <w:spacing w:line="600" w:lineRule="exact"/>
        <w:rPr>
          <w:rFonts w:ascii="黑体" w:hAnsi="黑体" w:eastAsia="黑体"/>
          <w:b/>
          <w:spacing w:val="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B0B44"/>
    <w:rsid w:val="166F1278"/>
    <w:rsid w:val="4B942C7B"/>
    <w:rsid w:val="56EB0B44"/>
    <w:rsid w:val="57D0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2022-06-10T01:17:00Z</dcterms:created>
  <dc:creator>马可波罗</dc:creator>
  <cp:lastModifiedBy>马可波罗</cp:lastModifiedBy>
  <dcterms:modified xsi:type="dcterms:W3CDTF">2022-06-10T01:21:21Z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